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C8" w:rsidRDefault="00EA3FC8" w:rsidP="00EA3FC8">
      <w:r>
        <w:rPr>
          <w:rFonts w:hint="eastAsia"/>
        </w:rPr>
        <w:t>附件二</w:t>
      </w:r>
    </w:p>
    <w:p w:rsidR="00EA3FC8" w:rsidRPr="00C52DD2" w:rsidRDefault="00EA3FC8" w:rsidP="00EA3FC8">
      <w:pPr>
        <w:jc w:val="center"/>
        <w:rPr>
          <w:rFonts w:ascii="宋体" w:eastAsia="宋体" w:hAnsi="宋体" w:cs="Times New Roman"/>
          <w:b/>
          <w:sz w:val="30"/>
          <w:szCs w:val="30"/>
        </w:rPr>
      </w:pPr>
      <w:bookmarkStart w:id="0" w:name="_GoBack"/>
      <w:r w:rsidRPr="00C52DD2">
        <w:rPr>
          <w:rFonts w:ascii="宋体" w:eastAsia="宋体" w:hAnsi="宋体" w:cs="Times New Roman" w:hint="eastAsia"/>
          <w:b/>
          <w:sz w:val="30"/>
          <w:szCs w:val="30"/>
        </w:rPr>
        <w:t>广东工业大学高水平运动员招生</w:t>
      </w:r>
      <w:r w:rsidRPr="00C52DD2">
        <w:rPr>
          <w:rFonts w:ascii="Times New Roman" w:eastAsia="宋体" w:hAnsi="Times New Roman" w:cs="Times New Roman" w:hint="eastAsia"/>
          <w:b/>
          <w:sz w:val="30"/>
          <w:szCs w:val="30"/>
        </w:rPr>
        <w:t>专项测试评定</w:t>
      </w:r>
      <w:r w:rsidRPr="00C52DD2">
        <w:rPr>
          <w:rFonts w:ascii="Verdana" w:eastAsia="宋体" w:hAnsi="Verdana" w:cs="Times New Roman" w:hint="eastAsia"/>
          <w:b/>
          <w:bCs/>
          <w:color w:val="000000"/>
          <w:sz w:val="30"/>
          <w:szCs w:val="30"/>
        </w:rPr>
        <w:t>办法</w:t>
      </w:r>
    </w:p>
    <w:bookmarkEnd w:id="0"/>
    <w:p w:rsidR="00EA3FC8" w:rsidRPr="00C52DD2" w:rsidRDefault="00EA3FC8" w:rsidP="00EA3FC8">
      <w:pPr>
        <w:spacing w:line="306" w:lineRule="exact"/>
        <w:ind w:firstLineChars="200" w:firstLine="420"/>
        <w:rPr>
          <w:rFonts w:ascii="Verdana" w:eastAsia="宋体" w:hAnsi="Verdana" w:cs="Times New Roman"/>
          <w:bCs/>
          <w:color w:val="000000"/>
          <w:szCs w:val="21"/>
        </w:rPr>
      </w:pPr>
      <w:r w:rsidRPr="00C52DD2">
        <w:rPr>
          <w:rFonts w:ascii="宋体" w:eastAsia="宋体" w:hAnsi="宋体" w:cs="Times New Roman" w:hint="eastAsia"/>
          <w:szCs w:val="21"/>
        </w:rPr>
        <w:t>为确保广东工业大学高水平运动员招生录取工作公平、公正、公开、规范进行，招收到符合需要的高水平运动员，根据教育部和广东省相关文件，结合我校高水平运动员招生测试具体情况，</w:t>
      </w:r>
      <w:r w:rsidRPr="00C52DD2">
        <w:rPr>
          <w:rFonts w:ascii="Verdana" w:eastAsia="宋体" w:hAnsi="Verdana" w:cs="Times New Roman" w:hint="eastAsia"/>
          <w:bCs/>
          <w:color w:val="000000"/>
          <w:szCs w:val="21"/>
        </w:rPr>
        <w:t>特制定本办法。</w:t>
      </w:r>
    </w:p>
    <w:p w:rsidR="00EA3FC8" w:rsidRPr="00C52DD2" w:rsidRDefault="00EA3FC8" w:rsidP="00EA3FC8">
      <w:pPr>
        <w:spacing w:line="306" w:lineRule="exact"/>
        <w:ind w:firstLineChars="200" w:firstLine="422"/>
        <w:rPr>
          <w:rFonts w:ascii="Verdana" w:eastAsia="宋体" w:hAnsi="Verdana" w:cs="Times New Roman"/>
          <w:b/>
          <w:bCs/>
          <w:color w:val="000000"/>
          <w:szCs w:val="21"/>
        </w:rPr>
      </w:pPr>
      <w:r w:rsidRPr="00C52DD2">
        <w:rPr>
          <w:rFonts w:ascii="Verdana" w:eastAsia="宋体" w:hAnsi="Verdana" w:cs="Times New Roman" w:hint="eastAsia"/>
          <w:b/>
          <w:bCs/>
          <w:color w:val="000000"/>
          <w:szCs w:val="21"/>
        </w:rPr>
        <w:t>一、考生最终成绩计算</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Verdana" w:eastAsia="宋体" w:hAnsi="Verdana" w:cs="Times New Roman" w:hint="eastAsia"/>
          <w:bCs/>
          <w:color w:val="000000"/>
          <w:szCs w:val="21"/>
        </w:rPr>
        <w:t>考生最终成绩</w:t>
      </w:r>
      <w:r w:rsidRPr="00C52DD2">
        <w:rPr>
          <w:rFonts w:ascii="Verdana" w:eastAsia="宋体" w:hAnsi="Verdana" w:cs="Times New Roman" w:hint="eastAsia"/>
          <w:bCs/>
          <w:color w:val="000000"/>
          <w:szCs w:val="21"/>
        </w:rPr>
        <w:t>=</w:t>
      </w:r>
      <w:r w:rsidRPr="00C52DD2">
        <w:rPr>
          <w:rFonts w:ascii="宋体" w:eastAsia="宋体" w:hAnsi="宋体" w:cs="Times New Roman" w:hint="eastAsia"/>
          <w:szCs w:val="21"/>
        </w:rPr>
        <w:t>考生体育专项测试成绩×60%+考评组专家评分×10%+考生高中阶段比赛成绩×20%+教练组评分×10%</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二、考生各项成绩评定（采用百分制）</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1、考生体育专项测试成绩</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考生测试在学校纪检监察部门全程监督下实施，测试过程严格标准、严格程序、严格规定，测试成绩由学校招生办统一收集并现场密封，按照《广东省高水平运动员测试标准》核算得出。</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以考生测试原始成绩为准，乘以权重，作为本项目的最终成绩。</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2、考评组专家评分</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考评组</w:t>
      </w:r>
      <w:r w:rsidRPr="00C52DD2">
        <w:rPr>
          <w:rFonts w:ascii="Times New Roman" w:eastAsia="宋体" w:hAnsi="Times New Roman" w:cs="Times New Roman" w:hint="eastAsia"/>
          <w:szCs w:val="21"/>
        </w:rPr>
        <w:t>由校内外专家组成，所</w:t>
      </w:r>
      <w:r w:rsidRPr="00C52DD2">
        <w:rPr>
          <w:rFonts w:ascii="宋体" w:eastAsia="宋体" w:hAnsi="宋体" w:cs="Times New Roman" w:hint="eastAsia"/>
          <w:szCs w:val="21"/>
        </w:rPr>
        <w:t>聘请的专家应为业内知名、经验丰富的权威专家（副教授或国家级教练以上）。</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考评组专家根据考生在学校专项测试期间的表现，以记名方式对考生单独评分，取平均分，以考评专家平均分乘以权重作为本项目的最终成绩。</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3、考生高中阶段比赛成绩</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根据网上报名期间考生自行填报的运动经历，由学校招生工作办公室审核认定考生纸质版的相关比赛成绩，对获得不同级别的比赛成绩，给予相应的分数。具体评分详见下表：</w:t>
      </w:r>
    </w:p>
    <w:p w:rsidR="00EA3FC8" w:rsidRPr="00C52DD2" w:rsidRDefault="00EA3FC8" w:rsidP="00EA3FC8">
      <w:pPr>
        <w:spacing w:line="306" w:lineRule="exact"/>
        <w:rPr>
          <w:rFonts w:ascii="宋体" w:eastAsia="宋体" w:hAnsi="宋体" w:cs="Times New Roman"/>
          <w:szCs w:val="21"/>
        </w:rPr>
      </w:pPr>
      <w:r w:rsidRPr="00C52DD2">
        <w:rPr>
          <w:rFonts w:ascii="宋体" w:eastAsia="宋体" w:hAnsi="宋体"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664"/>
        <w:gridCol w:w="1665"/>
        <w:gridCol w:w="1664"/>
        <w:gridCol w:w="1665"/>
      </w:tblGrid>
      <w:tr w:rsidR="00EA3FC8" w:rsidRPr="00C52DD2" w:rsidTr="00C90D1F">
        <w:tc>
          <w:tcPr>
            <w:tcW w:w="2628" w:type="dxa"/>
            <w:tcBorders>
              <w:tl2br w:val="single" w:sz="4" w:space="0" w:color="auto"/>
            </w:tcBorders>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rPr>
                <w:rFonts w:ascii="宋体" w:eastAsia="宋体" w:hAnsi="宋体" w:cs="Times New Roman"/>
                <w:kern w:val="0"/>
                <w:szCs w:val="21"/>
              </w:rPr>
            </w:pPr>
            <w:r w:rsidRPr="00C52DD2">
              <w:rPr>
                <w:rFonts w:ascii="宋体" w:eastAsia="宋体" w:hAnsi="宋体" w:cs="Times New Roman" w:hint="eastAsia"/>
                <w:kern w:val="0"/>
                <w:szCs w:val="21"/>
              </w:rPr>
              <w:t xml:space="preserve">              得分</w:t>
            </w:r>
          </w:p>
          <w:p w:rsidR="00EA3FC8" w:rsidRPr="00C52DD2" w:rsidRDefault="00EA3FC8" w:rsidP="00C90D1F">
            <w:pPr>
              <w:pBdr>
                <w:bottom w:val="single" w:sz="6" w:space="1" w:color="auto"/>
              </w:pBdr>
              <w:tabs>
                <w:tab w:val="center" w:pos="4153"/>
                <w:tab w:val="right" w:pos="8306"/>
              </w:tabs>
              <w:snapToGrid w:val="0"/>
              <w:spacing w:line="306" w:lineRule="exact"/>
              <w:rPr>
                <w:rFonts w:ascii="宋体" w:eastAsia="宋体" w:hAnsi="宋体" w:cs="Times New Roman"/>
                <w:kern w:val="0"/>
                <w:szCs w:val="21"/>
              </w:rPr>
            </w:pPr>
            <w:r w:rsidRPr="00C52DD2">
              <w:rPr>
                <w:rFonts w:ascii="宋体" w:eastAsia="宋体" w:hAnsi="宋体" w:cs="Times New Roman" w:hint="eastAsia"/>
                <w:kern w:val="0"/>
                <w:szCs w:val="21"/>
              </w:rPr>
              <w:t>比赛级别</w:t>
            </w:r>
          </w:p>
        </w:tc>
        <w:tc>
          <w:tcPr>
            <w:tcW w:w="1664" w:type="dxa"/>
            <w:shd w:val="clear" w:color="auto" w:fill="auto"/>
          </w:tcPr>
          <w:p w:rsidR="00EA3FC8" w:rsidRPr="00C52DD2" w:rsidRDefault="00EA3FC8" w:rsidP="00EA3FC8">
            <w:pPr>
              <w:pBdr>
                <w:bottom w:val="single" w:sz="6" w:space="1" w:color="auto"/>
              </w:pBdr>
              <w:tabs>
                <w:tab w:val="center" w:pos="4153"/>
                <w:tab w:val="right" w:pos="8306"/>
              </w:tabs>
              <w:snapToGrid w:val="0"/>
              <w:spacing w:beforeLines="50" w:before="156"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100分</w:t>
            </w:r>
          </w:p>
        </w:tc>
        <w:tc>
          <w:tcPr>
            <w:tcW w:w="1665" w:type="dxa"/>
            <w:shd w:val="clear" w:color="auto" w:fill="auto"/>
          </w:tcPr>
          <w:p w:rsidR="00EA3FC8" w:rsidRPr="00C52DD2" w:rsidRDefault="00EA3FC8" w:rsidP="00EA3FC8">
            <w:pPr>
              <w:pBdr>
                <w:bottom w:val="single" w:sz="6" w:space="1" w:color="auto"/>
              </w:pBdr>
              <w:tabs>
                <w:tab w:val="center" w:pos="4153"/>
                <w:tab w:val="right" w:pos="8306"/>
              </w:tabs>
              <w:snapToGrid w:val="0"/>
              <w:spacing w:beforeLines="50" w:before="156"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95分</w:t>
            </w:r>
          </w:p>
        </w:tc>
        <w:tc>
          <w:tcPr>
            <w:tcW w:w="1664" w:type="dxa"/>
            <w:shd w:val="clear" w:color="auto" w:fill="auto"/>
          </w:tcPr>
          <w:p w:rsidR="00EA3FC8" w:rsidRPr="00C52DD2" w:rsidRDefault="00EA3FC8" w:rsidP="00EA3FC8">
            <w:pPr>
              <w:pBdr>
                <w:bottom w:val="single" w:sz="6" w:space="1" w:color="auto"/>
              </w:pBdr>
              <w:tabs>
                <w:tab w:val="center" w:pos="4153"/>
                <w:tab w:val="right" w:pos="8306"/>
              </w:tabs>
              <w:snapToGrid w:val="0"/>
              <w:spacing w:beforeLines="50" w:before="156"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90分</w:t>
            </w:r>
          </w:p>
        </w:tc>
        <w:tc>
          <w:tcPr>
            <w:tcW w:w="1665" w:type="dxa"/>
            <w:shd w:val="clear" w:color="auto" w:fill="auto"/>
          </w:tcPr>
          <w:p w:rsidR="00EA3FC8" w:rsidRPr="00C52DD2" w:rsidRDefault="00EA3FC8" w:rsidP="00EA3FC8">
            <w:pPr>
              <w:pBdr>
                <w:bottom w:val="single" w:sz="6" w:space="1" w:color="auto"/>
              </w:pBdr>
              <w:tabs>
                <w:tab w:val="center" w:pos="4153"/>
                <w:tab w:val="right" w:pos="8306"/>
              </w:tabs>
              <w:snapToGrid w:val="0"/>
              <w:spacing w:beforeLines="50" w:before="156"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85分</w:t>
            </w:r>
          </w:p>
        </w:tc>
      </w:tr>
      <w:tr w:rsidR="00EA3FC8" w:rsidRPr="00C52DD2" w:rsidTr="00C90D1F">
        <w:tc>
          <w:tcPr>
            <w:tcW w:w="2628"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全国性以上比赛</w:t>
            </w:r>
          </w:p>
        </w:tc>
        <w:tc>
          <w:tcPr>
            <w:tcW w:w="1664"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前3名</w:t>
            </w:r>
          </w:p>
        </w:tc>
        <w:tc>
          <w:tcPr>
            <w:tcW w:w="1665"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4～5名</w:t>
            </w:r>
          </w:p>
        </w:tc>
        <w:tc>
          <w:tcPr>
            <w:tcW w:w="1664"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第6名</w:t>
            </w:r>
          </w:p>
        </w:tc>
        <w:tc>
          <w:tcPr>
            <w:tcW w:w="1665"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第7～8名</w:t>
            </w:r>
          </w:p>
        </w:tc>
      </w:tr>
      <w:tr w:rsidR="00EA3FC8" w:rsidRPr="00C52DD2" w:rsidTr="00C90D1F">
        <w:tc>
          <w:tcPr>
            <w:tcW w:w="2628"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省级比赛</w:t>
            </w:r>
          </w:p>
        </w:tc>
        <w:tc>
          <w:tcPr>
            <w:tcW w:w="1664" w:type="dxa"/>
            <w:tcBorders>
              <w:tl2br w:val="single" w:sz="4" w:space="0" w:color="auto"/>
            </w:tcBorders>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p>
        </w:tc>
        <w:tc>
          <w:tcPr>
            <w:tcW w:w="1665"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第1名</w:t>
            </w:r>
          </w:p>
        </w:tc>
        <w:tc>
          <w:tcPr>
            <w:tcW w:w="1664"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第2～3名</w:t>
            </w:r>
          </w:p>
        </w:tc>
        <w:tc>
          <w:tcPr>
            <w:tcW w:w="1665" w:type="dxa"/>
            <w:shd w:val="clear" w:color="auto" w:fill="auto"/>
          </w:tcPr>
          <w:p w:rsidR="00EA3FC8" w:rsidRPr="00C52DD2" w:rsidRDefault="00EA3FC8" w:rsidP="00C90D1F">
            <w:pPr>
              <w:pBdr>
                <w:bottom w:val="single" w:sz="6" w:space="1" w:color="auto"/>
              </w:pBdr>
              <w:tabs>
                <w:tab w:val="center" w:pos="4153"/>
                <w:tab w:val="right" w:pos="8306"/>
              </w:tabs>
              <w:snapToGrid w:val="0"/>
              <w:spacing w:line="306" w:lineRule="exact"/>
              <w:jc w:val="center"/>
              <w:rPr>
                <w:rFonts w:ascii="宋体" w:eastAsia="宋体" w:hAnsi="宋体" w:cs="Times New Roman"/>
                <w:kern w:val="0"/>
                <w:szCs w:val="21"/>
              </w:rPr>
            </w:pPr>
            <w:r w:rsidRPr="00C52DD2">
              <w:rPr>
                <w:rFonts w:ascii="宋体" w:eastAsia="宋体" w:hAnsi="宋体" w:cs="Times New Roman" w:hint="eastAsia"/>
                <w:kern w:val="0"/>
                <w:szCs w:val="21"/>
              </w:rPr>
              <w:t>第4～6名</w:t>
            </w:r>
          </w:p>
        </w:tc>
      </w:tr>
    </w:tbl>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以上各项分数</w:t>
      </w:r>
      <w:proofErr w:type="gramStart"/>
      <w:r w:rsidRPr="00C52DD2">
        <w:rPr>
          <w:rFonts w:ascii="宋体" w:eastAsia="宋体" w:hAnsi="宋体" w:cs="Times New Roman" w:hint="eastAsia"/>
          <w:szCs w:val="21"/>
        </w:rPr>
        <w:t>不</w:t>
      </w:r>
      <w:proofErr w:type="gramEnd"/>
      <w:r w:rsidRPr="00C52DD2">
        <w:rPr>
          <w:rFonts w:ascii="宋体" w:eastAsia="宋体" w:hAnsi="宋体" w:cs="Times New Roman" w:hint="eastAsia"/>
          <w:szCs w:val="21"/>
        </w:rPr>
        <w:t>累计，</w:t>
      </w:r>
      <w:proofErr w:type="gramStart"/>
      <w:r w:rsidRPr="00C52DD2">
        <w:rPr>
          <w:rFonts w:ascii="宋体" w:eastAsia="宋体" w:hAnsi="宋体" w:cs="Times New Roman" w:hint="eastAsia"/>
          <w:szCs w:val="21"/>
        </w:rPr>
        <w:t>取最高</w:t>
      </w:r>
      <w:proofErr w:type="gramEnd"/>
      <w:r w:rsidRPr="00C52DD2">
        <w:rPr>
          <w:rFonts w:ascii="宋体" w:eastAsia="宋体" w:hAnsi="宋体" w:cs="Times New Roman" w:hint="eastAsia"/>
          <w:szCs w:val="21"/>
        </w:rPr>
        <w:t>分数，乘以权重作为本项目的成绩。</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4、教练组评分</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教练组熟悉学校高水平运动队的情况和运动员的特点，了解学校高水平运动队项目设置、场上位置的需要，因此，教练组根据学校高水平运动队建设的需要而给出评分，可作为预录取高水平运动员的依据之一。</w:t>
      </w:r>
    </w:p>
    <w:p w:rsidR="00EA3FC8" w:rsidRPr="00C52DD2" w:rsidRDefault="00EA3FC8" w:rsidP="00EA3FC8">
      <w:pPr>
        <w:spacing w:line="306" w:lineRule="exact"/>
        <w:rPr>
          <w:rFonts w:ascii="宋体" w:eastAsia="宋体" w:hAnsi="宋体" w:cs="Times New Roman"/>
          <w:szCs w:val="21"/>
        </w:rPr>
      </w:pPr>
      <w:r w:rsidRPr="00C52DD2">
        <w:rPr>
          <w:rFonts w:ascii="宋体" w:eastAsia="宋体" w:hAnsi="宋体" w:cs="Times New Roman" w:hint="eastAsia"/>
          <w:szCs w:val="21"/>
        </w:rPr>
        <w:t>本项目成绩以测试现场教练组以记名方式对考生单独评分，取平均分，乘以权重后作为本项目的成绩。</w:t>
      </w:r>
    </w:p>
    <w:p w:rsidR="00EA3FC8" w:rsidRPr="00C52DD2" w:rsidRDefault="00EA3FC8" w:rsidP="00EA3FC8">
      <w:pPr>
        <w:spacing w:line="306" w:lineRule="exact"/>
        <w:ind w:firstLineChars="200" w:firstLine="422"/>
        <w:rPr>
          <w:rFonts w:ascii="宋体" w:eastAsia="宋体" w:hAnsi="宋体" w:cs="Times New Roman"/>
          <w:b/>
          <w:szCs w:val="21"/>
        </w:rPr>
      </w:pPr>
      <w:r w:rsidRPr="00C52DD2">
        <w:rPr>
          <w:rFonts w:ascii="宋体" w:eastAsia="宋体" w:hAnsi="宋体" w:cs="Times New Roman" w:hint="eastAsia"/>
          <w:b/>
          <w:szCs w:val="21"/>
        </w:rPr>
        <w:t>三、其他</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1、考生体育专项测试成绩经裁判员、记分员及考生三方签字确认后公布。</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2、考生各项成绩评定结束后，成绩表当场密封，由招生办按各项权重比例汇总考生的最终成绩。</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3、由学校高水平运动员招生领导小组根据学校招生计划及考生测试成绩划定招收高水平运动员专项测试合格线，确定我校招收高水平运动员测试合格考生名单并公示。</w:t>
      </w:r>
    </w:p>
    <w:p w:rsidR="00EA3FC8" w:rsidRPr="00C52DD2" w:rsidRDefault="00EA3FC8" w:rsidP="00EA3FC8">
      <w:pPr>
        <w:spacing w:line="306" w:lineRule="exact"/>
        <w:ind w:firstLineChars="200" w:firstLine="420"/>
        <w:rPr>
          <w:rFonts w:ascii="宋体" w:eastAsia="宋体" w:hAnsi="宋体" w:cs="Times New Roman"/>
          <w:szCs w:val="21"/>
        </w:rPr>
      </w:pPr>
      <w:r w:rsidRPr="00C52DD2">
        <w:rPr>
          <w:rFonts w:ascii="宋体" w:eastAsia="宋体" w:hAnsi="宋体" w:cs="Times New Roman" w:hint="eastAsia"/>
          <w:szCs w:val="21"/>
        </w:rPr>
        <w:t>4、本办法由广东工业大学招生办公室负责解释。</w:t>
      </w:r>
    </w:p>
    <w:p w:rsidR="00EA3FC8" w:rsidRPr="00C52DD2" w:rsidRDefault="00EA3FC8" w:rsidP="00EA3FC8">
      <w:pPr>
        <w:spacing w:line="306" w:lineRule="exact"/>
        <w:jc w:val="right"/>
        <w:rPr>
          <w:rFonts w:ascii="宋体" w:eastAsia="宋体" w:hAnsi="宋体" w:cs="Times New Roman"/>
          <w:szCs w:val="21"/>
        </w:rPr>
      </w:pPr>
    </w:p>
    <w:p w:rsidR="00EA3FC8" w:rsidRPr="00C52DD2" w:rsidRDefault="00EA3FC8" w:rsidP="00EA3FC8">
      <w:pPr>
        <w:spacing w:line="306" w:lineRule="exact"/>
        <w:ind w:right="960"/>
        <w:jc w:val="right"/>
        <w:rPr>
          <w:rFonts w:ascii="宋体" w:eastAsia="宋体" w:hAnsi="宋体" w:cs="Times New Roman"/>
          <w:sz w:val="24"/>
          <w:szCs w:val="24"/>
        </w:rPr>
      </w:pPr>
      <w:r w:rsidRPr="00C52DD2">
        <w:rPr>
          <w:rFonts w:ascii="宋体" w:eastAsia="宋体" w:hAnsi="宋体" w:cs="Times New Roman" w:hint="eastAsia"/>
          <w:szCs w:val="21"/>
        </w:rPr>
        <w:t>广东工业大学招生办公室</w:t>
      </w:r>
    </w:p>
    <w:p w:rsidR="0001472D" w:rsidRPr="00EA3FC8" w:rsidRDefault="0001472D"/>
    <w:sectPr w:rsidR="0001472D" w:rsidRPr="00EA3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8"/>
    <w:rsid w:val="0001472D"/>
    <w:rsid w:val="00EA3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Company>系统天地官网</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2017-01-18T00:51:00Z</dcterms:created>
  <dcterms:modified xsi:type="dcterms:W3CDTF">2017-01-18T00:52:00Z</dcterms:modified>
</cp:coreProperties>
</file>